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Табела 9.1.а. </w:t>
      </w:r>
      <w:r w:rsidDel="00000000" w:rsidR="00000000" w:rsidRPr="00000000">
        <w:rPr>
          <w:vertAlign w:val="baseline"/>
          <w:rtl w:val="0"/>
        </w:rPr>
        <w:t xml:space="preserve">Kњига наставника - студијски програм Мастер академске студије Француски језик и књижевност 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02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1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1"/>
        <w:gridCol w:w="2430"/>
        <w:gridCol w:w="4680"/>
        <w:gridCol w:w="2833"/>
        <w:tblGridChange w:id="0">
          <w:tblGrid>
            <w:gridCol w:w="771"/>
            <w:gridCol w:w="2430"/>
            <w:gridCol w:w="4680"/>
            <w:gridCol w:w="2833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Ред.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Матични број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Презиме, средње слово, име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1504972747027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Станковић М. Селена 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0809978731310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Јовановић Н. Иван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Ванредни професор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0703969783933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Вучељ С. Нермин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Ванредни професор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spacing w:after="60" w:before="6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0110976794419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Бјелић Р. Никола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0103982805043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Јаћовић Г. Јелена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spacing w:after="60" w:before="60" w:lineRule="auto"/>
              <w:jc w:val="center"/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2504972735022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Симовић Д. Весна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2501986710120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Ђурић З. Владимир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2906965735026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Миљковић М. Ивана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after="60" w:before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60" w:before="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851" w:top="2127" w:left="709" w:right="567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10646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7342"/>
      <w:gridCol w:w="1670"/>
      <w:tblGridChange w:id="0">
        <w:tblGrid>
          <w:gridCol w:w="1634"/>
          <w:gridCol w:w="7342"/>
          <w:gridCol w:w="1670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4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4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4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4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GAne++Um0FnMSx4bFQ3J8Cb8Bg==">AMUW2mWtMn6cLzoJMm6igPiQAGXy3xmYSgIQALbqbwu1+hYrU5QaXZt7vgM7zjJFIP+qINRW/fX4bXO0BP+UXTjyevBZX743TMXdaK+3tlV9JdcvTyUebGM242S9KPi0W+yROZv8t0XH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2022-01-28T20:43:00Z</dcterms:created>
  <dc:creator>Saša Trenčić</dc:creator>
</cp:coreProperties>
</file>